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Calibri" w:asciiTheme="minorAscii" w:hAnsiTheme="minorAscii"/>
          <w:b/>
          <w:sz w:val="28"/>
          <w:szCs w:val="24"/>
          <w:u w:val="single"/>
        </w:rPr>
      </w:pPr>
      <w:r>
        <w:rPr>
          <w:rFonts w:hint="default" w:cs="Calibri" w:asciiTheme="minorAscii" w:hAnsiTheme="minorAscii"/>
          <w:b/>
          <w:sz w:val="28"/>
          <w:szCs w:val="24"/>
          <w:u w:val="single"/>
        </w:rPr>
        <w:t>Lesson Plan</w:t>
      </w:r>
      <w:bookmarkStart w:id="0" w:name="_GoBack"/>
      <w:bookmarkEnd w:id="0"/>
    </w:p>
    <w:p>
      <w:pPr>
        <w:rPr>
          <w:rFonts w:hint="default" w:cs="Calibri" w:asciiTheme="minorAscii" w:hAnsiTheme="minorAscii"/>
          <w:sz w:val="28"/>
          <w:szCs w:val="24"/>
        </w:rPr>
      </w:pPr>
      <w:r>
        <w:rPr>
          <w:rFonts w:hint="default" w:cs="Calibri" w:asciiTheme="minorAscii" w:hAnsiTheme="minorAscii"/>
          <w:b/>
          <w:sz w:val="28"/>
          <w:szCs w:val="24"/>
        </w:rPr>
        <w:t>Name of Assistant/Associate Professor</w:t>
      </w:r>
      <w:r>
        <w:rPr>
          <w:rFonts w:hint="default" w:cs="Calibri" w:asciiTheme="minorAscii" w:hAnsiTheme="minorAscii"/>
          <w:sz w:val="28"/>
          <w:szCs w:val="24"/>
        </w:rPr>
        <w:t xml:space="preserve">: </w:t>
      </w:r>
      <w:r>
        <w:rPr>
          <w:rFonts w:hint="default" w:cs="Calibri" w:asciiTheme="minorAscii" w:hAnsiTheme="minorAscii"/>
          <w:b/>
          <w:sz w:val="28"/>
          <w:szCs w:val="24"/>
        </w:rPr>
        <w:t>Seema kashyap</w:t>
      </w:r>
    </w:p>
    <w:p>
      <w:pPr>
        <w:rPr>
          <w:rFonts w:hint="default" w:cs="Calibri" w:asciiTheme="minorAscii" w:hAnsiTheme="minorAscii"/>
          <w:b/>
          <w:sz w:val="28"/>
          <w:szCs w:val="24"/>
        </w:rPr>
      </w:pPr>
      <w:r>
        <w:rPr>
          <w:rFonts w:hint="default" w:cs="Calibri" w:asciiTheme="minorAscii" w:hAnsiTheme="minorAscii"/>
          <w:b/>
          <w:sz w:val="28"/>
          <w:szCs w:val="24"/>
        </w:rPr>
        <w:t>Class &amp;Section: B. Sc III, N.M. &amp; Med.,</w:t>
      </w:r>
      <w:r>
        <w:rPr>
          <w:rFonts w:hint="default" w:asciiTheme="minorAscii" w:hAnsiTheme="minorAscii"/>
          <w:b/>
          <w:sz w:val="32"/>
          <w:szCs w:val="32"/>
        </w:rPr>
        <w:t xml:space="preserve"> (Sem -6</w:t>
      </w:r>
      <w:r>
        <w:rPr>
          <w:rFonts w:hint="default" w:asciiTheme="minorAscii" w:hAnsiTheme="minorAscii"/>
          <w:b/>
          <w:sz w:val="32"/>
          <w:szCs w:val="32"/>
          <w:vertAlign w:val="superscript"/>
        </w:rPr>
        <w:t>th</w:t>
      </w:r>
      <w:r>
        <w:rPr>
          <w:rFonts w:hint="default" w:asciiTheme="minorAscii" w:hAnsiTheme="minorAscii"/>
          <w:b/>
          <w:sz w:val="32"/>
          <w:szCs w:val="32"/>
        </w:rPr>
        <w:t xml:space="preserve"> )</w:t>
      </w:r>
    </w:p>
    <w:p>
      <w:pPr>
        <w:rPr>
          <w:rFonts w:hint="default" w:cs="Calibri" w:asciiTheme="minorAscii" w:hAnsiTheme="minorAscii"/>
          <w:sz w:val="21"/>
          <w:szCs w:val="24"/>
          <w:lang w:val="en-US"/>
        </w:rPr>
      </w:pPr>
      <w:r>
        <w:rPr>
          <w:rFonts w:hint="default" w:cs="Calibri" w:asciiTheme="minorAscii" w:hAnsiTheme="minorAscii"/>
          <w:b/>
          <w:sz w:val="28"/>
          <w:szCs w:val="24"/>
        </w:rPr>
        <w:t xml:space="preserve">Inorganic Chemistry </w:t>
      </w:r>
      <w:r>
        <w:rPr>
          <w:rFonts w:hint="default" w:cs="Calibri" w:asciiTheme="minorAscii" w:hAnsiTheme="minorAscii"/>
          <w:sz w:val="28"/>
          <w:szCs w:val="24"/>
        </w:rPr>
        <w:t>:</w:t>
      </w:r>
      <w:r>
        <w:rPr>
          <w:rFonts w:hint="default" w:cs="Calibri" w:asciiTheme="minorAscii" w:hAnsiTheme="minorAscii"/>
          <w:sz w:val="28"/>
          <w:szCs w:val="24"/>
          <w:lang w:val="en-US"/>
        </w:rPr>
        <w:t xml:space="preserve"> (</w:t>
      </w:r>
      <w:r>
        <w:rPr>
          <w:rFonts w:hint="default" w:asciiTheme="minorAscii" w:hAnsiTheme="minorAscii"/>
          <w:b/>
          <w:sz w:val="24"/>
          <w:szCs w:val="24"/>
        </w:rPr>
        <w:t xml:space="preserve">From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FEB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 xml:space="preserve"> to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May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>)</w:t>
      </w:r>
    </w:p>
    <w:tbl>
      <w:tblPr>
        <w:tblStyle w:val="4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5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655" w:type="dxa"/>
            <w:vAlign w:val="center"/>
          </w:tcPr>
          <w:p>
            <w:pPr>
              <w:spacing w:after="0" w:line="240" w:lineRule="auto"/>
              <w:rPr>
                <w:rFonts w:hint="default" w:cs="Calibri" w:asciiTheme="minorAscii" w:hAnsiTheme="minorAscii"/>
                <w:b/>
              </w:rPr>
            </w:pPr>
            <w:r>
              <w:rPr>
                <w:rFonts w:hint="default" w:cs="Calibri" w:asciiTheme="minorAscii" w:hAnsiTheme="minorAscii"/>
                <w:b/>
              </w:rPr>
              <w:t>Chapter 1 Organometallic Chemistry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sz w:val="24"/>
                <w:szCs w:val="24"/>
              </w:rPr>
              <w:t>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1"/>
                <w:numId w:val="1"/>
              </w:num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Definition </w:t>
            </w:r>
          </w:p>
          <w:p>
            <w:pPr>
              <w:pStyle w:val="5"/>
              <w:numPr>
                <w:ilvl w:val="1"/>
                <w:numId w:val="1"/>
              </w:num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Nomenclature and classification of Organo metallic compounds 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1.3 Preparation , properties and bonding of alkyls of lithium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1.4 Preparation , properties and bonding of alkyls of Aluminium 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,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3rd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1.5 Preparation, properties and bonding of alkyls of Mercury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1.6 Preparation, properties and bonding of alkyls of Sn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1.7 Nature of bonding in Metal Carbonyls 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1.8 A brief account of metal Ethylenic complexes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1.9 Mononuclear Carbonyls 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  <w:b/>
              </w:rPr>
            </w:pPr>
            <w:r>
              <w:rPr>
                <w:rFonts w:hint="default" w:cs="Calibri" w:asciiTheme="minorAscii" w:hAnsiTheme="minorAscii"/>
                <w:b/>
                <w:sz w:val="24"/>
              </w:rPr>
              <w:t xml:space="preserve">Chapter 2 Acid &amp; Bases , HSAB Concept </w:t>
            </w:r>
          </w:p>
        </w:tc>
        <w:tc>
          <w:tcPr>
            <w:tcW w:w="304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2.1 Arrhenius concept of Acid &amp; Bases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2.2 Advantages &amp; Limitations of Arrhenius concept</w:t>
            </w:r>
          </w:p>
        </w:tc>
        <w:tc>
          <w:tcPr>
            <w:tcW w:w="304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2.3 Bronsted Lowry concept of Acid and Bases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2.4 Lux – flood concept of Acid and Bases 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2.5 Solvent system concept of Acid and Bases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2.6 Lewis system concept of Acid and Bases</w:t>
            </w:r>
          </w:p>
        </w:tc>
        <w:tc>
          <w:tcPr>
            <w:tcW w:w="304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2.7 Relative strength of Acid and Bases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2.8  Concept of Hard and soft Acids and Bases</w:t>
            </w:r>
          </w:p>
        </w:tc>
        <w:tc>
          <w:tcPr>
            <w:tcW w:w="304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jc w:val="center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Problems from chapter 1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30" w:firstLineChars="300"/>
              <w:jc w:val="both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March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l,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 Problems from chapter 2 and test 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Problems from chapter 2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Test of chapter 2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Week 9 Chapter 3 Bio Inorganic Chemistry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3.1 Essential and Trace elements in biological processes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3.2 Metallopophyrins with special reference to haemoglobin and myoglobin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3.6 Nitrogen Fixation Metalloproteins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 xml:space="preserve">,Problems of Chapter – 3 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Assignment I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,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  <w:b/>
              </w:rPr>
              <w:t>Chapter -4</w:t>
            </w:r>
            <w:r>
              <w:rPr>
                <w:rFonts w:hint="default" w:cs="Calibri" w:asciiTheme="minorAscii" w:hAnsiTheme="minorAscii"/>
              </w:rPr>
              <w:t xml:space="preserve">  </w:t>
            </w:r>
            <w:r>
              <w:rPr>
                <w:rFonts w:hint="default" w:cs="Calibri" w:asciiTheme="minorAscii" w:hAnsiTheme="minorAscii"/>
                <w:b/>
                <w:sz w:val="24"/>
              </w:rPr>
              <w:t>Silicons &amp; Phosphazenes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4.1 Silicons as an examble of Inorganic polymers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4.2Silicons fluids &amp; oils , siliconselastoma</w:t>
            </w:r>
          </w:p>
        </w:tc>
        <w:tc>
          <w:tcPr>
            <w:tcW w:w="30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4.3 Silicon Resins , Polysiloxane copolymers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4.4 Introduction to Phosphazene0,s method of preparation of phosphazenes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4.5 Structure and bonding in Phosphazenes</w:t>
            </w:r>
          </w:p>
        </w:tc>
        <w:tc>
          <w:tcPr>
            <w:tcW w:w="304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4.6 Bonding in Triphosphazenes</w:t>
            </w: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  <w:r>
              <w:rPr>
                <w:rFonts w:hint="default" w:cs="Calibri" w:asciiTheme="minorAscii" w:hAnsiTheme="minorAscii"/>
              </w:rPr>
              <w:t>4.7  Uses of Phosphazenes</w:t>
            </w:r>
          </w:p>
        </w:tc>
        <w:tc>
          <w:tcPr>
            <w:tcW w:w="304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cs="Calibri" w:asciiTheme="minorAscii" w:hAnsiTheme="minorAscii"/>
              </w:rPr>
            </w:pPr>
          </w:p>
          <w:p>
            <w:pPr>
              <w:spacing w:after="0" w:line="240" w:lineRule="auto"/>
              <w:rPr>
                <w:rFonts w:hint="default" w:cs="Calibri" w:asciiTheme="minorAscii" w:hAnsiTheme="minorAscii"/>
                <w:b/>
              </w:rPr>
            </w:pPr>
            <w:r>
              <w:rPr>
                <w:rFonts w:hint="default" w:cs="Calibri" w:asciiTheme="minorAscii" w:hAnsiTheme="minorAscii"/>
                <w:b/>
              </w:rPr>
              <w:t xml:space="preserve">    Assignment – II</w:t>
            </w:r>
          </w:p>
        </w:tc>
        <w:tc>
          <w:tcPr>
            <w:tcW w:w="3045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br w:type="page"/>
      </w:r>
    </w:p>
    <w:p>
      <w:pPr>
        <w:spacing w:line="240" w:lineRule="auto"/>
        <w:jc w:val="center"/>
        <w:rPr>
          <w:rFonts w:hint="default" w:cs="Times New Roman" w:asciiTheme="minorAscii" w:hAnsiTheme="minorAscii"/>
          <w:b/>
          <w:sz w:val="32"/>
          <w:szCs w:val="28"/>
          <w:u w:val="single"/>
        </w:rPr>
      </w:pPr>
      <w:r>
        <w:rPr>
          <w:rFonts w:hint="default" w:cs="Times New Roman" w:asciiTheme="minorAscii" w:hAnsiTheme="minorAscii"/>
          <w:b/>
          <w:sz w:val="32"/>
          <w:szCs w:val="28"/>
          <w:u w:val="single"/>
        </w:rPr>
        <w:t>Lesson Plan</w:t>
      </w:r>
    </w:p>
    <w:p>
      <w:pPr>
        <w:spacing w:line="240" w:lineRule="auto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>Name of Assistant/Associate Professor: Seema kashyap</w:t>
      </w:r>
    </w:p>
    <w:p>
      <w:pPr>
        <w:spacing w:line="240" w:lineRule="auto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 xml:space="preserve">Class and section: B.Sc III N.M  &amp; Med. </w:t>
      </w:r>
      <w:r>
        <w:rPr>
          <w:rFonts w:hint="default" w:asciiTheme="minorAscii" w:hAnsiTheme="minorAscii"/>
          <w:b/>
          <w:sz w:val="28"/>
          <w:szCs w:val="28"/>
        </w:rPr>
        <w:t>. (Sem -6</w:t>
      </w:r>
      <w:r>
        <w:rPr>
          <w:rFonts w:hint="default" w:asciiTheme="minorAscii" w:hAnsiTheme="minorAscii"/>
          <w:b/>
          <w:sz w:val="28"/>
          <w:szCs w:val="28"/>
          <w:vertAlign w:val="superscript"/>
        </w:rPr>
        <w:t>th</w:t>
      </w:r>
      <w:r>
        <w:rPr>
          <w:rFonts w:hint="default" w:asciiTheme="minorAscii" w:hAnsiTheme="minorAscii"/>
          <w:b/>
          <w:sz w:val="28"/>
          <w:szCs w:val="28"/>
        </w:rPr>
        <w:t xml:space="preserve"> )</w:t>
      </w:r>
      <w:r>
        <w:rPr>
          <w:rFonts w:hint="default" w:cs="Times New Roman" w:asciiTheme="minorAscii" w:hAnsiTheme="minorAscii"/>
          <w:b/>
          <w:sz w:val="28"/>
          <w:szCs w:val="28"/>
        </w:rPr>
        <w:t xml:space="preserve">)      </w:t>
      </w:r>
    </w:p>
    <w:p>
      <w:pPr>
        <w:spacing w:after="0"/>
        <w:rPr>
          <w:rFonts w:hint="default" w:cs="Times New Roman" w:asciiTheme="minorAscii" w:hAnsiTheme="minorAscii"/>
          <w:b/>
          <w:sz w:val="28"/>
          <w:szCs w:val="28"/>
        </w:rPr>
      </w:pPr>
      <w:r>
        <w:rPr>
          <w:rFonts w:hint="default" w:cs="Times New Roman" w:asciiTheme="minorAscii" w:hAnsiTheme="minorAscii"/>
          <w:b/>
          <w:sz w:val="28"/>
          <w:szCs w:val="28"/>
        </w:rPr>
        <w:t>Physical Chemistry -</w:t>
      </w:r>
      <w:r>
        <w:rPr>
          <w:rFonts w:hint="default" w:cs="Times New Roman" w:asciiTheme="minorAscii" w:hAnsiTheme="minorAscii"/>
          <w:b/>
          <w:sz w:val="32"/>
          <w:szCs w:val="32"/>
        </w:rPr>
        <w:t xml:space="preserve"> </w:t>
      </w:r>
      <w:r>
        <w:rPr>
          <w:rFonts w:hint="default" w:cs="Times New Roman" w:asciiTheme="minorAscii" w:hAnsiTheme="minorAscii"/>
          <w:b/>
          <w:sz w:val="32"/>
          <w:szCs w:val="32"/>
          <w:lang w:val="en-US"/>
        </w:rPr>
        <w:t>(</w:t>
      </w:r>
      <w:r>
        <w:rPr>
          <w:rFonts w:hint="default" w:asciiTheme="minorAscii" w:hAnsiTheme="minorAscii"/>
          <w:b/>
          <w:sz w:val="24"/>
          <w:szCs w:val="24"/>
        </w:rPr>
        <w:t xml:space="preserve">From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FEB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 xml:space="preserve"> to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May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>)</w:t>
      </w:r>
    </w:p>
    <w:tbl>
      <w:tblPr>
        <w:tblStyle w:val="4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4"/>
                <w:szCs w:val="28"/>
              </w:rPr>
              <w:t xml:space="preserve">Chapter 1  </w:t>
            </w:r>
            <w:r>
              <w:rPr>
                <w:rFonts w:hint="default" w:asciiTheme="minorAscii" w:hAnsiTheme="minorAscii"/>
                <w:b/>
                <w:sz w:val="28"/>
              </w:rPr>
              <w:t>Photochemistry</w:t>
            </w:r>
          </w:p>
        </w:tc>
        <w:tc>
          <w:tcPr>
            <w:tcW w:w="2925" w:type="dxa"/>
          </w:tcPr>
          <w:p>
            <w:pPr>
              <w:spacing w:after="0" w:line="240" w:lineRule="auto"/>
              <w:rPr>
                <w:rFonts w:hint="default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sz w:val="24"/>
                <w:szCs w:val="24"/>
              </w:rPr>
              <w:t xml:space="preserve">       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 xml:space="preserve">Interaction of radiation with matter, difference between thermal and 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photochemical processes. Laws of photochemistry: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Grotthus-Drapper law, StarkEinstein law (law of photochemical equivalence),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,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Jablonski diagram depiciting various processes occurring in the excited state,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 xml:space="preserve">qualitative description of fluorescence, 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 xml:space="preserve">phosphorescence, quantum yield, 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phosphorescence, quantum yield,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non-radiative processes (internal conversion, intersystem crossing),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photosensitized reactions-energy transfer processes (simple examples)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ind w:left="1276" w:hanging="1276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8"/>
                <w:szCs w:val="28"/>
              </w:rPr>
              <w:t xml:space="preserve">Chapter 2  </w:t>
            </w:r>
            <w:r>
              <w:rPr>
                <w:rFonts w:hint="default" w:asciiTheme="minorAscii" w:hAnsiTheme="minorAscii"/>
                <w:b/>
                <w:sz w:val="24"/>
              </w:rPr>
              <w:t>Solutions, Dilute Solutions and                      Colligative Properties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 xml:space="preserve">Ideal and non-ideal solutions, methods of 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expressing concentrations of solutions,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Dilute solutions, Raoult’s law.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30" w:firstLineChars="300"/>
              <w:jc w:val="both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March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l,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 xml:space="preserve">Colligative properties: (i) relative lowering of vapour pressure (ii) Elevation in boiling point 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(iii)) depression in freezing point (iv) osmotic pressure.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Thermodynamic derivation of relation between amount of solute and elevation in boiling point and depression in freezing point..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Applications in calculating molar masses of normal, dissociated and associated solutes in solution.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8"/>
                <w:szCs w:val="28"/>
              </w:rPr>
              <w:t xml:space="preserve">Chapter 3   </w:t>
            </w:r>
            <w:r>
              <w:rPr>
                <w:rFonts w:hint="default" w:asciiTheme="minorAscii" w:hAnsiTheme="minorAscii"/>
                <w:b/>
                <w:sz w:val="24"/>
              </w:rPr>
              <w:t>Phase Equillibrium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Statement and meaning of the terms – phase,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component and degree of freedom,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thermodynamic derivation of Gibbs phase rule,</w:t>
            </w:r>
          </w:p>
        </w:tc>
        <w:tc>
          <w:tcPr>
            <w:tcW w:w="29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phase equilibria of one component system –Example – water system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Phase equilibria of two component systems solid-liquid equilibria,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simple eutectic Example Pb-Ag system,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655" w:type="dxa"/>
          </w:tcPr>
          <w:p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desilverisation of lead.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9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cs="Calibri" w:asciiTheme="minorAscii" w:hAnsiTheme="minorAscii"/>
              </w:rPr>
              <w:t>Revision and Practical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8"/>
                <w:szCs w:val="28"/>
              </w:rPr>
              <w:t xml:space="preserve">Chapter  3:  </w:t>
            </w:r>
            <w:r>
              <w:rPr>
                <w:rFonts w:hint="default" w:asciiTheme="minorAscii" w:hAnsiTheme="minorAscii"/>
                <w:b/>
                <w:sz w:val="24"/>
              </w:rPr>
              <w:t>Introduction to statistical mechanics</w:t>
            </w:r>
          </w:p>
        </w:tc>
        <w:tc>
          <w:tcPr>
            <w:tcW w:w="2925" w:type="dxa"/>
            <w:vAlign w:val="top"/>
          </w:tcPr>
          <w:p>
            <w:pPr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Need for statistical thermodynamics,</w:t>
            </w:r>
          </w:p>
        </w:tc>
        <w:tc>
          <w:tcPr>
            <w:tcW w:w="292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 xml:space="preserve">thermodynamic probability, Maxwell Boltzmann distribution statistics, Born oppenheimer approximation, </w:t>
            </w:r>
          </w:p>
        </w:tc>
        <w:tc>
          <w:tcPr>
            <w:tcW w:w="292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</w:rPr>
              <w:t>partition function and its physical significance. Factorization of partition function.</w:t>
            </w:r>
          </w:p>
        </w:tc>
        <w:tc>
          <w:tcPr>
            <w:tcW w:w="2925" w:type="dxa"/>
            <w:vAlign w:val="top"/>
          </w:tcPr>
          <w:p>
            <w:pPr>
              <w:spacing w:after="0" w:line="240" w:lineRule="auto"/>
              <w:ind w:firstLine="840" w:firstLineChars="400"/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5" w:type="dxa"/>
          </w:tcPr>
          <w:p>
            <w:pPr>
              <w:pStyle w:val="5"/>
              <w:numPr>
                <w:ilvl w:val="0"/>
                <w:numId w:val="12"/>
              </w:numPr>
              <w:spacing w:after="200" w:line="276" w:lineRule="auto"/>
              <w:rPr>
                <w:rFonts w:hint="default" w:asciiTheme="minorAscii" w:hAnsiTheme="minorAscii"/>
                <w:sz w:val="24"/>
                <w:szCs w:val="28"/>
              </w:rPr>
            </w:pPr>
          </w:p>
        </w:tc>
        <w:tc>
          <w:tcPr>
            <w:tcW w:w="292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/>
                <w:sz w:val="24"/>
                <w:szCs w:val="24"/>
              </w:rPr>
            </w:pPr>
          </w:p>
        </w:tc>
      </w:tr>
    </w:tbl>
    <w:p>
      <w:pPr>
        <w:rPr>
          <w:rFonts w:hint="default" w:asciiTheme="minorAscii" w:hAnsiTheme="minorAscii"/>
          <w:sz w:val="28"/>
          <w:szCs w:val="28"/>
        </w:rPr>
      </w:pPr>
    </w:p>
    <w:p>
      <w:pPr>
        <w:rPr>
          <w:rFonts w:hint="default" w:cs="Times New Roman" w:asciiTheme="minorAscii" w:hAnsiTheme="minorAscii"/>
          <w:b/>
          <w:sz w:val="24"/>
          <w:szCs w:val="28"/>
        </w:rPr>
      </w:pPr>
    </w:p>
    <w:p>
      <w:pPr>
        <w:rPr>
          <w:rFonts w:hint="default" w:asciiTheme="minorAscii" w:hAnsiTheme="minorAscii"/>
          <w:sz w:val="28"/>
          <w:szCs w:val="28"/>
        </w:rPr>
      </w:pPr>
    </w:p>
    <w:p>
      <w:pPr>
        <w:rPr>
          <w:rFonts w:hint="default" w:asciiTheme="minorAscii" w:hAnsiTheme="minorAscii"/>
          <w:sz w:val="28"/>
          <w:szCs w:val="28"/>
        </w:rPr>
      </w:pPr>
    </w:p>
    <w:p>
      <w:pPr>
        <w:rPr>
          <w:rFonts w:hint="default" w:asciiTheme="minorAscii" w:hAnsiTheme="minorAscii"/>
          <w:b/>
          <w:sz w:val="28"/>
          <w:szCs w:val="28"/>
        </w:rPr>
      </w:pPr>
      <w:r>
        <w:rPr>
          <w:rFonts w:hint="default" w:asciiTheme="minorAscii" w:hAnsiTheme="minorAscii"/>
          <w:b/>
          <w:sz w:val="28"/>
          <w:szCs w:val="28"/>
        </w:rPr>
        <w:br w:type="page"/>
      </w:r>
    </w:p>
    <w:p>
      <w:pPr>
        <w:spacing w:line="240" w:lineRule="auto"/>
        <w:ind w:left="2880" w:firstLine="720"/>
        <w:rPr>
          <w:rFonts w:hint="default" w:asciiTheme="minorAscii" w:hAnsiTheme="minorAscii"/>
          <w:b/>
          <w:sz w:val="28"/>
          <w:szCs w:val="28"/>
        </w:rPr>
      </w:pPr>
      <w:r>
        <w:rPr>
          <w:rFonts w:hint="default" w:asciiTheme="minorAscii" w:hAnsiTheme="minorAscii"/>
          <w:b/>
          <w:sz w:val="28"/>
          <w:szCs w:val="28"/>
        </w:rPr>
        <w:t>Lesson Plan</w:t>
      </w:r>
    </w:p>
    <w:p>
      <w:pPr>
        <w:spacing w:line="240" w:lineRule="auto"/>
        <w:rPr>
          <w:rFonts w:hint="default" w:asciiTheme="minorAscii" w:hAnsiTheme="minorAscii"/>
          <w:b/>
          <w:sz w:val="28"/>
          <w:szCs w:val="28"/>
        </w:rPr>
      </w:pPr>
      <w:r>
        <w:rPr>
          <w:rFonts w:hint="default" w:asciiTheme="minorAscii" w:hAnsiTheme="minorAscii"/>
          <w:b/>
          <w:sz w:val="28"/>
          <w:szCs w:val="28"/>
        </w:rPr>
        <w:t>Name of Assistant/Associate Professor:</w:t>
      </w:r>
    </w:p>
    <w:p>
      <w:pPr>
        <w:spacing w:line="240" w:lineRule="auto"/>
        <w:rPr>
          <w:rFonts w:hint="default" w:asciiTheme="minorAscii" w:hAnsiTheme="minorAscii"/>
          <w:b/>
          <w:sz w:val="28"/>
          <w:szCs w:val="28"/>
        </w:rPr>
      </w:pPr>
      <w:r>
        <w:rPr>
          <w:rFonts w:hint="default" w:asciiTheme="minorAscii" w:hAnsiTheme="minorAscii"/>
          <w:b/>
          <w:sz w:val="28"/>
          <w:szCs w:val="28"/>
        </w:rPr>
        <w:t>Class and section: B.Sc III N.M  &amp; Med. (Sem -6</w:t>
      </w:r>
      <w:r>
        <w:rPr>
          <w:rFonts w:hint="default" w:asciiTheme="minorAscii" w:hAnsiTheme="minorAscii"/>
          <w:b/>
          <w:sz w:val="28"/>
          <w:szCs w:val="28"/>
          <w:vertAlign w:val="superscript"/>
        </w:rPr>
        <w:t>th</w:t>
      </w:r>
      <w:r>
        <w:rPr>
          <w:rFonts w:hint="default" w:asciiTheme="minorAscii" w:hAnsiTheme="minorAscii"/>
          <w:b/>
          <w:sz w:val="28"/>
          <w:szCs w:val="28"/>
        </w:rPr>
        <w:t xml:space="preserve"> )</w:t>
      </w:r>
    </w:p>
    <w:p>
      <w:pPr>
        <w:spacing w:after="0"/>
        <w:rPr>
          <w:rFonts w:hint="default" w:cs="Times New Roman" w:asciiTheme="minorAscii" w:hAnsiTheme="minorAscii"/>
          <w:b/>
          <w:sz w:val="24"/>
          <w:szCs w:val="24"/>
          <w:lang w:val="en-US"/>
        </w:rPr>
      </w:pPr>
      <w:r>
        <w:rPr>
          <w:rFonts w:hint="default" w:asciiTheme="minorAscii" w:hAnsiTheme="minorAscii"/>
          <w:b/>
          <w:sz w:val="28"/>
          <w:szCs w:val="28"/>
        </w:rPr>
        <w:t xml:space="preserve">Organic Chemistry :  Week </w:t>
      </w:r>
      <w:r>
        <w:rPr>
          <w:rFonts w:hint="default" w:asciiTheme="minorAscii" w:hAnsiTheme="minorAscii"/>
          <w:b/>
          <w:sz w:val="28"/>
          <w:szCs w:val="28"/>
          <w:lang w:val="en-US"/>
        </w:rPr>
        <w:t xml:space="preserve">( </w:t>
      </w:r>
      <w:r>
        <w:rPr>
          <w:rFonts w:hint="default" w:asciiTheme="minorAscii" w:hAnsiTheme="minorAscii"/>
          <w:b/>
          <w:sz w:val="32"/>
          <w:szCs w:val="32"/>
          <w:lang w:val="en-US"/>
        </w:rPr>
        <w:t xml:space="preserve"> </w:t>
      </w:r>
      <w:r>
        <w:rPr>
          <w:rFonts w:hint="default" w:asciiTheme="minorAscii" w:hAnsiTheme="minorAscii"/>
          <w:b/>
          <w:sz w:val="24"/>
          <w:szCs w:val="24"/>
        </w:rPr>
        <w:t xml:space="preserve">From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FEB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 xml:space="preserve"> to 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May</w:t>
      </w:r>
      <w:r>
        <w:rPr>
          <w:rFonts w:hint="default" w:asciiTheme="minorAscii" w:hAnsiTheme="minorAscii"/>
          <w:b/>
          <w:sz w:val="24"/>
          <w:szCs w:val="24"/>
        </w:rPr>
        <w:t xml:space="preserve"> 202</w:t>
      </w:r>
      <w:r>
        <w:rPr>
          <w:rFonts w:hint="default" w:asciiTheme="minorAscii" w:hAnsiTheme="minorAscii"/>
          <w:b/>
          <w:sz w:val="24"/>
          <w:szCs w:val="24"/>
          <w:lang w:val="en-US"/>
        </w:rPr>
        <w:t>4</w:t>
      </w:r>
      <w:r>
        <w:rPr>
          <w:rFonts w:hint="default" w:asciiTheme="minorAscii" w:hAnsiTheme="minorAscii"/>
          <w:b/>
          <w:sz w:val="24"/>
          <w:szCs w:val="24"/>
        </w:rPr>
        <w:t>)</w:t>
      </w:r>
    </w:p>
    <w:tbl>
      <w:tblPr>
        <w:tblStyle w:val="4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4"/>
                <w:szCs w:val="28"/>
              </w:rPr>
              <w:t>Chapter 1 Organosulphur Compound</w:t>
            </w:r>
          </w:p>
        </w:tc>
        <w:tc>
          <w:tcPr>
            <w:tcW w:w="3195" w:type="dxa"/>
          </w:tcPr>
          <w:p>
            <w:pPr>
              <w:spacing w:after="0" w:line="240" w:lineRule="auto"/>
              <w:rPr>
                <w:rFonts w:hint="default" w:cs="Times New Roman" w:asciiTheme="minorAscii" w:hAnsiTheme="minorAscii"/>
                <w:b/>
                <w:szCs w:val="24"/>
              </w:rPr>
            </w:pPr>
            <w:r>
              <w:rPr>
                <w:rFonts w:hint="default" w:cs="Times New Roman" w:asciiTheme="minorAscii" w:hAnsiTheme="minorAscii"/>
                <w:b/>
                <w:szCs w:val="24"/>
              </w:rPr>
              <w:t xml:space="preserve">       Dates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Nomenclature Structural feature, M.O.P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Chemical rxn of thiols, thioether, sulphonic acid,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Feb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640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Sulphonamides &amp;sulphaguanidine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, Week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  <w:lang w:val="en-US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Synthetic detergents ,alkyl &amp; aryl sulphonates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Feb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4"/>
                <w:szCs w:val="28"/>
              </w:rPr>
              <w:t>Chapter  2: Heterocyclic compound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4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Molecular orbital str ,Aromatic characterstics of pyrrole,furan 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Aromatic characterstics  of thiophene &amp; pyridine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M.O.P ,&amp; Chemical Rxn with mechanism of electrophilic substitution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6640" w:type="dxa"/>
          </w:tcPr>
          <w:p>
            <w:pPr>
              <w:pStyle w:val="5"/>
              <w:numPr>
                <w:ilvl w:val="0"/>
                <w:numId w:val="1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Mech. Of Nucleophilic substitution Reaction in Pyridine derivatives</w:t>
            </w:r>
          </w:p>
          <w:p>
            <w:pPr>
              <w:pStyle w:val="5"/>
              <w:numPr>
                <w:ilvl w:val="0"/>
                <w:numId w:val="1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Comparison of basicity of pyridine piperidine &amp; pyrrole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945" w:firstLineChars="450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Introduction of condensed 5-6 membered heterocycles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 xml:space="preserve">              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M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Preparation &amp; reaction of indole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7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Rxn of quinolone &amp; isoquinoline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Ma</w:t>
            </w: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Fischer Indole synthesis &amp; skraup synthesis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30" w:firstLineChars="300"/>
              <w:jc w:val="both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  <w:lang w:val="en-US"/>
              </w:rPr>
              <w:t>March</w:t>
            </w:r>
            <w:r>
              <w:rPr>
                <w:rFonts w:hint="default" w:cs="Times New Roman" w:asciiTheme="minorAscii" w:hAnsiTheme="minorAscii"/>
                <w:sz w:val="21"/>
                <w:szCs w:val="21"/>
              </w:rPr>
              <w:t>l,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Bischler napieralski synthesis, Mech. of Electrophilic substitution of indole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Mech. Of electrophilic substitution Rxn. Of Quinoline &amp; Isoquinoline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    </w:t>
            </w:r>
            <w:r>
              <w:rPr>
                <w:rFonts w:hint="default" w:asciiTheme="minorAscii" w:hAnsiTheme="minorAscii"/>
                <w:b/>
                <w:sz w:val="24"/>
                <w:szCs w:val="28"/>
              </w:rPr>
              <w:t xml:space="preserve">CHAPTER-3 Organic synthesis via enolates 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Acidity of hydrogen, alkylation of diethylmalonate &amp;Ethyl acetoacetate 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Synthesis of Ethylacetoacetate,claisen condensation Keto-enol tautomerism of ethyl acetoacetate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9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Alkylation of 1-3 dithianes </w:t>
            </w:r>
          </w:p>
          <w:p>
            <w:pPr>
              <w:pStyle w:val="5"/>
              <w:numPr>
                <w:ilvl w:val="0"/>
                <w:numId w:val="19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Acylation of Enamines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3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b/>
                <w:sz w:val="24"/>
                <w:szCs w:val="28"/>
              </w:rPr>
            </w:pPr>
            <w:r>
              <w:rPr>
                <w:rFonts w:hint="default" w:asciiTheme="minorAscii" w:hAnsiTheme="minorAscii"/>
                <w:b/>
                <w:sz w:val="24"/>
                <w:szCs w:val="28"/>
              </w:rPr>
              <w:t xml:space="preserve">   CHAPTER-4 Amino Acids,proteins &amp; Nucleic Acids</w:t>
            </w:r>
          </w:p>
        </w:tc>
        <w:tc>
          <w:tcPr>
            <w:tcW w:w="31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9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Classification,structure &amp;stereochemistry of amino acids, Acid-base behavior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April,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40" w:type="dxa"/>
          </w:tcPr>
          <w:p>
            <w:p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</w:p>
          <w:p>
            <w:pPr>
              <w:pStyle w:val="5"/>
              <w:numPr>
                <w:ilvl w:val="0"/>
                <w:numId w:val="20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Isoelectric point &amp; electrophoresis, Prp &amp; reaction of Amino acids</w:t>
            </w:r>
          </w:p>
        </w:tc>
        <w:tc>
          <w:tcPr>
            <w:tcW w:w="31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April Week 4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Structure &amp; Nomenclature of peptides &amp; proteins,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640" w:type="dxa"/>
          </w:tcPr>
          <w:p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Peptide structure determination ,End group analysis, selective Hydrolysis of peptides 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1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Classical peptide synthesis ,Solid phase peptide synthesis 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b/>
                <w:sz w:val="21"/>
                <w:szCs w:val="21"/>
                <w:u w:val="single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21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Structure of peptides &amp; proteins , levels of proteins structure 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May,  Week I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2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Problem of chapter  heterocyclic compounds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Test of Chapter 2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 xml:space="preserve">Denaturation/Renaturation 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, nucleic acids  introduction , constituents of nucleic acids</w:t>
            </w:r>
          </w:p>
        </w:tc>
        <w:tc>
          <w:tcPr>
            <w:tcW w:w="31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>May , 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1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Ribonucleosides , ribonucleotides ,double helical structure of D.N.A</w:t>
            </w:r>
          </w:p>
        </w:tc>
        <w:tc>
          <w:tcPr>
            <w:tcW w:w="3195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cs="Times New Roman" w:asciiTheme="minorAscii" w:hAnsiTheme="minorAscii" w:eastAsiaTheme="minorHAnsi"/>
                <w:sz w:val="21"/>
                <w:szCs w:val="21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      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0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hint="default" w:asciiTheme="minorAscii" w:hAnsiTheme="minorAscii"/>
                <w:sz w:val="24"/>
                <w:szCs w:val="28"/>
              </w:rPr>
            </w:pPr>
            <w:r>
              <w:rPr>
                <w:rFonts w:hint="default" w:asciiTheme="minorAscii" w:hAnsiTheme="minorAscii"/>
                <w:sz w:val="24"/>
                <w:szCs w:val="28"/>
              </w:rPr>
              <w:t>Revision And Practical</w:t>
            </w:r>
          </w:p>
        </w:tc>
        <w:tc>
          <w:tcPr>
            <w:tcW w:w="3195" w:type="dxa"/>
            <w:vAlign w:val="top"/>
          </w:tcPr>
          <w:p>
            <w:pPr>
              <w:spacing w:after="0" w:line="240" w:lineRule="auto"/>
              <w:ind w:firstLine="840" w:firstLineChars="400"/>
              <w:rPr>
                <w:rFonts w:hint="default" w:cs="Times New Roman" w:asciiTheme="minorAscii" w:hAnsiTheme="minorAscii" w:eastAsiaTheme="minorHAnsi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 w:asciiTheme="minorAscii" w:hAnsiTheme="minorAscii"/>
                <w:sz w:val="21"/>
                <w:szCs w:val="21"/>
              </w:rPr>
              <w:t xml:space="preserve">      May, Week 2</w:t>
            </w:r>
            <w:r>
              <w:rPr>
                <w:rFonts w:hint="default" w:cs="Times New Roman" w:asciiTheme="minorAscii" w:hAnsiTheme="minorAscii"/>
                <w:sz w:val="21"/>
                <w:szCs w:val="21"/>
                <w:vertAlign w:val="superscript"/>
              </w:rPr>
              <w:t>nd</w:t>
            </w:r>
          </w:p>
        </w:tc>
      </w:tr>
    </w:tbl>
    <w:p>
      <w:pPr>
        <w:rPr>
          <w:rFonts w:hint="default" w:asciiTheme="minorAscii" w:hAnsiTheme="minorAscii"/>
          <w:sz w:val="20"/>
        </w:rPr>
      </w:pPr>
    </w:p>
    <w:p>
      <w:pPr>
        <w:rPr>
          <w:rFonts w:hint="default" w:asciiTheme="minorAscii" w:hAnsiTheme="minorAscii"/>
          <w:sz w:val="20"/>
        </w:rPr>
      </w:pPr>
      <w:r>
        <w:rPr>
          <w:rFonts w:hint="default" w:asciiTheme="minorAscii" w:hAnsiTheme="minorAscii"/>
          <w:sz w:val="20"/>
        </w:rPr>
        <w:br w:type="page"/>
      </w:r>
    </w:p>
    <w:sectPr>
      <w:pgSz w:w="12240" w:h="15840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85901"/>
    <w:multiLevelType w:val="multilevel"/>
    <w:tmpl w:val="0228590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3807B1"/>
    <w:multiLevelType w:val="multilevel"/>
    <w:tmpl w:val="043807B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9F4838"/>
    <w:multiLevelType w:val="multilevel"/>
    <w:tmpl w:val="099F483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C30AC2"/>
    <w:multiLevelType w:val="multilevel"/>
    <w:tmpl w:val="15C30AC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7083C9D"/>
    <w:multiLevelType w:val="multilevel"/>
    <w:tmpl w:val="17083C9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7F1DEC"/>
    <w:multiLevelType w:val="multilevel"/>
    <w:tmpl w:val="177F1DEC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19C24DE"/>
    <w:multiLevelType w:val="multilevel"/>
    <w:tmpl w:val="219C24DE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9170E2D"/>
    <w:multiLevelType w:val="multilevel"/>
    <w:tmpl w:val="29170E2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1E2120"/>
    <w:multiLevelType w:val="multilevel"/>
    <w:tmpl w:val="301E212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03A51F5"/>
    <w:multiLevelType w:val="multilevel"/>
    <w:tmpl w:val="303A51F5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928629A"/>
    <w:multiLevelType w:val="multilevel"/>
    <w:tmpl w:val="3928629A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A045A99"/>
    <w:multiLevelType w:val="multilevel"/>
    <w:tmpl w:val="3A045A9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BED3473"/>
    <w:multiLevelType w:val="multilevel"/>
    <w:tmpl w:val="3BED347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02B77F2"/>
    <w:multiLevelType w:val="multilevel"/>
    <w:tmpl w:val="402B77F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CF54C8"/>
    <w:multiLevelType w:val="multilevel"/>
    <w:tmpl w:val="45CF54C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8F20A52"/>
    <w:multiLevelType w:val="multilevel"/>
    <w:tmpl w:val="58F20A5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E2D22E8"/>
    <w:multiLevelType w:val="multilevel"/>
    <w:tmpl w:val="5E2D22E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E4D7E32"/>
    <w:multiLevelType w:val="multilevel"/>
    <w:tmpl w:val="5E4D7E32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35913BB"/>
    <w:multiLevelType w:val="multilevel"/>
    <w:tmpl w:val="635913BB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7416EDD"/>
    <w:multiLevelType w:val="multilevel"/>
    <w:tmpl w:val="67416EDD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07B5E38"/>
    <w:multiLevelType w:val="multilevel"/>
    <w:tmpl w:val="707B5E3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5A169B9"/>
    <w:multiLevelType w:val="multilevel"/>
    <w:tmpl w:val="75A169B9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19"/>
  </w:num>
  <w:num w:numId="9">
    <w:abstractNumId w:val="10"/>
  </w:num>
  <w:num w:numId="10">
    <w:abstractNumId w:val="3"/>
  </w:num>
  <w:num w:numId="11">
    <w:abstractNumId w:val="21"/>
  </w:num>
  <w:num w:numId="12">
    <w:abstractNumId w:val="13"/>
  </w:num>
  <w:num w:numId="13">
    <w:abstractNumId w:val="1"/>
  </w:num>
  <w:num w:numId="14">
    <w:abstractNumId w:val="18"/>
  </w:num>
  <w:num w:numId="15">
    <w:abstractNumId w:val="16"/>
  </w:num>
  <w:num w:numId="16">
    <w:abstractNumId w:val="7"/>
  </w:num>
  <w:num w:numId="17">
    <w:abstractNumId w:val="8"/>
  </w:num>
  <w:num w:numId="18">
    <w:abstractNumId w:val="4"/>
  </w:num>
  <w:num w:numId="19">
    <w:abstractNumId w:val="2"/>
  </w:num>
  <w:num w:numId="20">
    <w:abstractNumId w:val="15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26"/>
    <w:rsid w:val="002153AB"/>
    <w:rsid w:val="002836E2"/>
    <w:rsid w:val="00285C2A"/>
    <w:rsid w:val="00292CDE"/>
    <w:rsid w:val="002A2D4B"/>
    <w:rsid w:val="004D0DE9"/>
    <w:rsid w:val="006E1B26"/>
    <w:rsid w:val="00776CBD"/>
    <w:rsid w:val="00873540"/>
    <w:rsid w:val="009A60D2"/>
    <w:rsid w:val="00A83AE4"/>
    <w:rsid w:val="00B94446"/>
    <w:rsid w:val="00C944D3"/>
    <w:rsid w:val="00F05AFA"/>
    <w:rsid w:val="221B4813"/>
    <w:rsid w:val="37371EDB"/>
    <w:rsid w:val="7BD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1118</Words>
  <Characters>6377</Characters>
  <Lines>53</Lines>
  <Paragraphs>14</Paragraphs>
  <TotalTime>10</TotalTime>
  <ScaleCrop>false</ScaleCrop>
  <LinksUpToDate>false</LinksUpToDate>
  <CharactersWithSpaces>7481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2022-04-01T05:43:00Z</dcterms:created>
  <dc:creator>Abhishek</dc:creator>
  <cp:lastModifiedBy>Student</cp:lastModifiedBy>
  <cp:lastPrinted>2023-02-27T08:19:00Z</cp:lastPrinted>
  <dcterms:modified xsi:type="dcterms:W3CDTF">2024-03-21T08:22:57Z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C9DD226651C6438E943A16AD9B6FC765_13</vt:lpwstr>
  </property>
</Properties>
</file>